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3F1" w:rsidRPr="00710F3D" w:rsidRDefault="00F153F1" w:rsidP="00710F3D">
      <w:pPr>
        <w:spacing w:after="0"/>
        <w:jc w:val="center"/>
        <w:rPr>
          <w:b/>
          <w:sz w:val="32"/>
          <w:szCs w:val="32"/>
        </w:rPr>
      </w:pPr>
      <w:bookmarkStart w:id="0" w:name="_GoBack"/>
      <w:bookmarkEnd w:id="0"/>
      <w:r w:rsidRPr="00710F3D">
        <w:rPr>
          <w:b/>
          <w:sz w:val="32"/>
          <w:szCs w:val="32"/>
        </w:rPr>
        <w:t xml:space="preserve">Merit Pay Increase </w:t>
      </w:r>
      <w:r w:rsidR="00927BBA">
        <w:rPr>
          <w:b/>
          <w:sz w:val="32"/>
          <w:szCs w:val="32"/>
        </w:rPr>
        <w:t>Considerations</w:t>
      </w:r>
      <w:r w:rsidRPr="00710F3D">
        <w:rPr>
          <w:b/>
          <w:sz w:val="32"/>
          <w:szCs w:val="32"/>
        </w:rPr>
        <w:t xml:space="preserve"> &amp; Options</w:t>
      </w:r>
    </w:p>
    <w:p w:rsidR="00F153F1" w:rsidRPr="00710F3D" w:rsidRDefault="00F153F1" w:rsidP="00710F3D">
      <w:pPr>
        <w:spacing w:after="0"/>
        <w:jc w:val="center"/>
        <w:rPr>
          <w:sz w:val="28"/>
          <w:szCs w:val="28"/>
        </w:rPr>
      </w:pPr>
      <w:r w:rsidRPr="00710F3D">
        <w:rPr>
          <w:sz w:val="28"/>
          <w:szCs w:val="28"/>
        </w:rPr>
        <w:t>Fiscal Year 2017</w:t>
      </w:r>
    </w:p>
    <w:p w:rsidR="00F153F1" w:rsidRDefault="00F153F1" w:rsidP="00F153F1">
      <w:pPr>
        <w:spacing w:after="0"/>
      </w:pPr>
    </w:p>
    <w:p w:rsidR="00F153F1" w:rsidRPr="0098174A" w:rsidRDefault="0070281F" w:rsidP="00F153F1">
      <w:pPr>
        <w:spacing w:after="0"/>
        <w:rPr>
          <w:b/>
          <w:sz w:val="28"/>
          <w:szCs w:val="28"/>
          <w:u w:val="single"/>
        </w:rPr>
      </w:pPr>
      <w:r w:rsidRPr="0098174A">
        <w:rPr>
          <w:b/>
          <w:sz w:val="28"/>
          <w:szCs w:val="28"/>
          <w:u w:val="single"/>
        </w:rPr>
        <w:t>Overview</w:t>
      </w:r>
    </w:p>
    <w:p w:rsidR="0070281F" w:rsidRDefault="0070281F" w:rsidP="00F153F1">
      <w:pPr>
        <w:spacing w:after="0"/>
      </w:pPr>
      <w:r>
        <w:t xml:space="preserve">Performance based rewards are an important component of Total Rewards at the University of Minnesota.  Annual salary increases based on merit and individual contributions are essential to creating a culture of </w:t>
      </w:r>
      <w:r w:rsidR="00A7523C">
        <w:t xml:space="preserve">operational excellence and </w:t>
      </w:r>
      <w:r>
        <w:t>contin</w:t>
      </w:r>
      <w:r w:rsidR="00A7523C">
        <w:t>uous improvement</w:t>
      </w:r>
      <w:r>
        <w:t xml:space="preserve">.  </w:t>
      </w:r>
    </w:p>
    <w:p w:rsidR="00940855" w:rsidRDefault="00940855" w:rsidP="00F153F1">
      <w:pPr>
        <w:spacing w:after="0"/>
      </w:pPr>
    </w:p>
    <w:p w:rsidR="0070281F" w:rsidRPr="0098174A" w:rsidRDefault="00261DB1" w:rsidP="00F153F1">
      <w:pPr>
        <w:spacing w:after="0"/>
        <w:rPr>
          <w:b/>
          <w:sz w:val="28"/>
          <w:szCs w:val="28"/>
          <w:u w:val="single"/>
        </w:rPr>
      </w:pPr>
      <w:r w:rsidRPr="0098174A">
        <w:rPr>
          <w:b/>
          <w:sz w:val="28"/>
          <w:szCs w:val="28"/>
          <w:u w:val="single"/>
        </w:rPr>
        <w:t>Design C</w:t>
      </w:r>
      <w:r w:rsidR="0070281F" w:rsidRPr="0098174A">
        <w:rPr>
          <w:b/>
          <w:sz w:val="28"/>
          <w:szCs w:val="28"/>
          <w:u w:val="single"/>
        </w:rPr>
        <w:t>onsiderations</w:t>
      </w:r>
    </w:p>
    <w:p w:rsidR="008F3E25" w:rsidRDefault="00595C10" w:rsidP="008F3E25">
      <w:pPr>
        <w:spacing w:after="0"/>
      </w:pPr>
      <w:r>
        <w:t xml:space="preserve">Each academic and </w:t>
      </w:r>
      <w:r w:rsidRPr="00520D04">
        <w:t>administrative</w:t>
      </w:r>
      <w:r w:rsidR="00E126B0" w:rsidRPr="00520D04">
        <w:t>/support</w:t>
      </w:r>
      <w:r w:rsidRPr="00520D04">
        <w:t xml:space="preserve"> unit</w:t>
      </w:r>
      <w:r>
        <w:t xml:space="preserve"> at the University of Minnesota is afforded flexibility in how merit increases are awarded.  The following consideration and approaches are being provided by OHR in response to recent requests for more guidance on this subject.  Please w</w:t>
      </w:r>
      <w:r w:rsidR="008F3E25">
        <w:t>ork with your OHR Consultant</w:t>
      </w:r>
      <w:r w:rsidR="00C11450">
        <w:t>, senior leadership team</w:t>
      </w:r>
      <w:r w:rsidR="00776915">
        <w:t xml:space="preserve">, </w:t>
      </w:r>
      <w:r w:rsidR="00C11450">
        <w:t>finance</w:t>
      </w:r>
      <w:r w:rsidR="008F3E25">
        <w:t xml:space="preserve"> </w:t>
      </w:r>
      <w:r w:rsidR="00776915">
        <w:t xml:space="preserve">and communications </w:t>
      </w:r>
      <w:r w:rsidR="008F3E25">
        <w:t>to address the following considerations</w:t>
      </w:r>
      <w:r w:rsidR="00776915">
        <w:t xml:space="preserve"> and steps</w:t>
      </w:r>
      <w:r w:rsidR="008F3E25">
        <w:t>:</w:t>
      </w:r>
    </w:p>
    <w:p w:rsidR="001D3D28" w:rsidRDefault="001D3D28" w:rsidP="008F3E25">
      <w:pPr>
        <w:spacing w:after="0"/>
      </w:pPr>
    </w:p>
    <w:tbl>
      <w:tblPr>
        <w:tblStyle w:val="TableGrid"/>
        <w:tblW w:w="0" w:type="auto"/>
        <w:tblLook w:val="04A0" w:firstRow="1" w:lastRow="0" w:firstColumn="1" w:lastColumn="0" w:noHBand="0" w:noVBand="1"/>
      </w:tblPr>
      <w:tblGrid>
        <w:gridCol w:w="1188"/>
        <w:gridCol w:w="8388"/>
      </w:tblGrid>
      <w:tr w:rsidR="00776915" w:rsidTr="00936D40">
        <w:tc>
          <w:tcPr>
            <w:tcW w:w="1188" w:type="dxa"/>
          </w:tcPr>
          <w:p w:rsidR="00776915" w:rsidRDefault="00776915" w:rsidP="00F153F1">
            <w:r>
              <w:t>Step 1</w:t>
            </w:r>
          </w:p>
        </w:tc>
        <w:tc>
          <w:tcPr>
            <w:tcW w:w="8388" w:type="dxa"/>
          </w:tcPr>
          <w:p w:rsidR="00776915" w:rsidRDefault="00520D04" w:rsidP="00776915">
            <w:r>
              <w:t>Review and u</w:t>
            </w:r>
            <w:r w:rsidR="00993A59">
              <w:t xml:space="preserve">pdate your </w:t>
            </w:r>
            <w:r w:rsidR="00776915">
              <w:t>performance review tool</w:t>
            </w:r>
            <w:r w:rsidR="00993A59">
              <w:t xml:space="preserve"> to ensure it </w:t>
            </w:r>
            <w:r w:rsidR="00776915">
              <w:t>will:</w:t>
            </w:r>
          </w:p>
          <w:p w:rsidR="00776915" w:rsidRDefault="00776915" w:rsidP="00776915">
            <w:pPr>
              <w:pStyle w:val="ListParagraph"/>
              <w:numPr>
                <w:ilvl w:val="0"/>
                <w:numId w:val="1"/>
              </w:numPr>
            </w:pPr>
            <w:r>
              <w:t>Effectively measure the behaviors and work outcomes you wish to reward</w:t>
            </w:r>
          </w:p>
          <w:p w:rsidR="00776915" w:rsidRDefault="00776915" w:rsidP="00776915">
            <w:pPr>
              <w:pStyle w:val="ListParagraph"/>
              <w:numPr>
                <w:ilvl w:val="0"/>
                <w:numId w:val="1"/>
              </w:numPr>
            </w:pPr>
            <w:r>
              <w:t>Provide information and/or ratings you will need to differentiate low from high performance</w:t>
            </w:r>
          </w:p>
        </w:tc>
      </w:tr>
      <w:tr w:rsidR="00776915" w:rsidTr="00936D40">
        <w:tc>
          <w:tcPr>
            <w:tcW w:w="1188" w:type="dxa"/>
          </w:tcPr>
          <w:p w:rsidR="00776915" w:rsidRDefault="00776915" w:rsidP="00F153F1">
            <w:r>
              <w:t>Step 2</w:t>
            </w:r>
          </w:p>
        </w:tc>
        <w:tc>
          <w:tcPr>
            <w:tcW w:w="8388" w:type="dxa"/>
          </w:tcPr>
          <w:p w:rsidR="00776915" w:rsidRDefault="007E41F1" w:rsidP="00776915">
            <w:r>
              <w:t>Clearly identify</w:t>
            </w:r>
            <w:r w:rsidR="00776915">
              <w:t xml:space="preserve"> the group of employees whose performance will be compared. </w:t>
            </w:r>
          </w:p>
          <w:p w:rsidR="00776915" w:rsidRDefault="00776915" w:rsidP="00776915">
            <w:pPr>
              <w:pStyle w:val="ListParagraph"/>
              <w:numPr>
                <w:ilvl w:val="0"/>
                <w:numId w:val="6"/>
              </w:numPr>
            </w:pPr>
            <w:r>
              <w:t xml:space="preserve">Will performance of all employees within a college be compared (college-wide </w:t>
            </w:r>
            <w:r w:rsidR="001A4E8D">
              <w:t xml:space="preserve">performance </w:t>
            </w:r>
            <w:r>
              <w:t>comparison)</w:t>
            </w:r>
          </w:p>
          <w:p w:rsidR="00776915" w:rsidRDefault="00776915" w:rsidP="00520D04">
            <w:pPr>
              <w:pStyle w:val="ListParagraph"/>
              <w:numPr>
                <w:ilvl w:val="0"/>
                <w:numId w:val="6"/>
              </w:numPr>
            </w:pPr>
            <w:r>
              <w:t xml:space="preserve">Will smaller groups be </w:t>
            </w:r>
            <w:r w:rsidR="001A4E8D">
              <w:t>used for comparison</w:t>
            </w:r>
            <w:r>
              <w:t xml:space="preserve"> within the college (department, unit, </w:t>
            </w:r>
            <w:proofErr w:type="spellStart"/>
            <w:r>
              <w:t>etc</w:t>
            </w:r>
            <w:proofErr w:type="spellEnd"/>
            <w:r>
              <w:t>)</w:t>
            </w:r>
          </w:p>
        </w:tc>
      </w:tr>
      <w:tr w:rsidR="00776915" w:rsidTr="00936D40">
        <w:tc>
          <w:tcPr>
            <w:tcW w:w="1188" w:type="dxa"/>
          </w:tcPr>
          <w:p w:rsidR="00776915" w:rsidRDefault="00C364F8" w:rsidP="00F153F1">
            <w:r>
              <w:t>Step 3</w:t>
            </w:r>
          </w:p>
        </w:tc>
        <w:tc>
          <w:tcPr>
            <w:tcW w:w="8388" w:type="dxa"/>
          </w:tcPr>
          <w:p w:rsidR="00E37851" w:rsidRDefault="00C364F8" w:rsidP="00940855">
            <w:r>
              <w:t>Determine how much money you have for each merit comparison grouping.  Simply multiply your merit increase percentage times total salaries of the employees in the group being reviewed.</w:t>
            </w:r>
            <w:r w:rsidR="00940855">
              <w:t xml:space="preserve">  </w:t>
            </w:r>
            <w:r w:rsidR="00E37851">
              <w:t>Be sure to include salaries from open positions in this calculation</w:t>
            </w:r>
            <w:r w:rsidR="00940855">
              <w:t>.</w:t>
            </w:r>
          </w:p>
          <w:p w:rsidR="00940855" w:rsidRPr="00520D04" w:rsidRDefault="00D3760D" w:rsidP="00E37851">
            <w:pPr>
              <w:pStyle w:val="ListParagraph"/>
              <w:numPr>
                <w:ilvl w:val="0"/>
                <w:numId w:val="8"/>
              </w:numPr>
            </w:pPr>
            <w:r>
              <w:t>U</w:t>
            </w:r>
            <w:r w:rsidR="00940855">
              <w:t xml:space="preserve">nits may exceed </w:t>
            </w:r>
            <w:r w:rsidR="00940855" w:rsidRPr="00520D04">
              <w:t>the 2.5% increase pool only if there is a need to address documented market challenges or exceptional performance results, and is permitted by the budget.</w:t>
            </w:r>
          </w:p>
          <w:p w:rsidR="00940855" w:rsidRDefault="00D3760D" w:rsidP="00430475">
            <w:pPr>
              <w:pStyle w:val="ListParagraph"/>
              <w:numPr>
                <w:ilvl w:val="0"/>
                <w:numId w:val="8"/>
              </w:numPr>
            </w:pPr>
            <w:r w:rsidRPr="00520D04">
              <w:t>U</w:t>
            </w:r>
            <w:r w:rsidR="00940855" w:rsidRPr="00520D04">
              <w:t>nits may deliver an increase pool lower than the 2.5% recommendation</w:t>
            </w:r>
            <w:r w:rsidR="00940855">
              <w:t xml:space="preserve"> if facing significant financial stress, defined as permanent loss of revenues and/or a recurring structural budget deficit, and insufficient carry-forward plans.  The alternative plan and supporting documentation regarding the financial constraints must be detailed in the unit’s budget/compact submissions, or a supplement to those materials.  Final submissions must be dated no later than</w:t>
            </w:r>
            <w:r w:rsidR="00430475">
              <w:t xml:space="preserve"> May 6,</w:t>
            </w:r>
            <w:r w:rsidR="00940855">
              <w:t xml:space="preserve"> 2016.  This proposal will be considered for FY17 only, not for subsequent years.  A written response to proposals will be sent from the Budget Office based on a final decision by the President and in time for implementation of increases for FY17.</w:t>
            </w:r>
          </w:p>
        </w:tc>
      </w:tr>
      <w:tr w:rsidR="00776915" w:rsidTr="00936D40">
        <w:tc>
          <w:tcPr>
            <w:tcW w:w="1188" w:type="dxa"/>
          </w:tcPr>
          <w:p w:rsidR="00776915" w:rsidRDefault="00C364F8" w:rsidP="00F153F1">
            <w:r>
              <w:t>Step 4</w:t>
            </w:r>
          </w:p>
        </w:tc>
        <w:tc>
          <w:tcPr>
            <w:tcW w:w="8388" w:type="dxa"/>
          </w:tcPr>
          <w:p w:rsidR="00C364F8" w:rsidRDefault="007E41F1" w:rsidP="00C364F8">
            <w:r>
              <w:t>Select</w:t>
            </w:r>
            <w:r w:rsidR="00C364F8">
              <w:t xml:space="preserve"> the approach you will use to award performance-based increases</w:t>
            </w:r>
          </w:p>
          <w:p w:rsidR="00776915" w:rsidRDefault="00C364F8" w:rsidP="00C364F8">
            <w:pPr>
              <w:pStyle w:val="ListParagraph"/>
              <w:numPr>
                <w:ilvl w:val="0"/>
                <w:numId w:val="7"/>
              </w:numPr>
            </w:pPr>
            <w:r>
              <w:t>See next section on “Three Approaches to Merit Pay” for sample models</w:t>
            </w:r>
          </w:p>
        </w:tc>
      </w:tr>
      <w:tr w:rsidR="00776915" w:rsidTr="00936D40">
        <w:tc>
          <w:tcPr>
            <w:tcW w:w="1188" w:type="dxa"/>
          </w:tcPr>
          <w:p w:rsidR="00776915" w:rsidRDefault="00C364F8" w:rsidP="00F153F1">
            <w:r>
              <w:t>Step 5</w:t>
            </w:r>
          </w:p>
        </w:tc>
        <w:tc>
          <w:tcPr>
            <w:tcW w:w="8388" w:type="dxa"/>
          </w:tcPr>
          <w:p w:rsidR="00776915" w:rsidRDefault="007E41F1" w:rsidP="00D3760D">
            <w:r>
              <w:t xml:space="preserve">Agree on </w:t>
            </w:r>
            <w:r w:rsidR="00C364F8">
              <w:t xml:space="preserve">how you </w:t>
            </w:r>
            <w:r w:rsidR="00993A59">
              <w:t xml:space="preserve">and senior leaders in your </w:t>
            </w:r>
            <w:r w:rsidR="00D3760D">
              <w:t>unit</w:t>
            </w:r>
            <w:r w:rsidR="00993A59">
              <w:t xml:space="preserve"> </w:t>
            </w:r>
            <w:r w:rsidR="00C364F8">
              <w:t xml:space="preserve">will conduct </w:t>
            </w:r>
            <w:r w:rsidR="00993A59">
              <w:t xml:space="preserve">a joint review to </w:t>
            </w:r>
            <w:r w:rsidR="00C364F8">
              <w:t>calibrate performance ratings, ensure legal compliance and adhere to University policies and guidelines.</w:t>
            </w:r>
          </w:p>
        </w:tc>
      </w:tr>
    </w:tbl>
    <w:p w:rsidR="008F3E25" w:rsidRDefault="008F3E25" w:rsidP="00F153F1">
      <w:pPr>
        <w:spacing w:after="0"/>
      </w:pPr>
    </w:p>
    <w:p w:rsidR="00430475" w:rsidRPr="00430475" w:rsidRDefault="00430475" w:rsidP="00430475">
      <w:pPr>
        <w:spacing w:after="0"/>
      </w:pPr>
      <w:r>
        <w:t>P</w:t>
      </w:r>
      <w:r w:rsidRPr="00430475">
        <w:t>lease note that employees who are paid above their salary range maximum must receive their annual increase in the form of a lump sum payment</w:t>
      </w:r>
      <w:r>
        <w:t xml:space="preserve">, rather than applied to their base salary.  In situations where an employee will be paid over the range maximum after receiving his/her merit increase, the employee can have the merit increase applied to his/her base until the point his/her salary reaches the range maximum.  Any further portion of the merit increase must be awarded as a lump sum increase. </w:t>
      </w:r>
    </w:p>
    <w:p w:rsidR="001D3D28" w:rsidRDefault="001D3D28" w:rsidP="00940855">
      <w:pPr>
        <w:spacing w:after="0"/>
        <w:rPr>
          <w:b/>
          <w:sz w:val="28"/>
          <w:szCs w:val="28"/>
          <w:u w:val="single"/>
        </w:rPr>
      </w:pPr>
    </w:p>
    <w:p w:rsidR="00940855" w:rsidRPr="0098174A" w:rsidRDefault="00940855" w:rsidP="00940855">
      <w:pPr>
        <w:spacing w:after="0"/>
        <w:rPr>
          <w:b/>
          <w:sz w:val="28"/>
          <w:szCs w:val="28"/>
          <w:u w:val="single"/>
        </w:rPr>
      </w:pPr>
      <w:r w:rsidRPr="0098174A">
        <w:rPr>
          <w:b/>
          <w:sz w:val="28"/>
          <w:szCs w:val="28"/>
          <w:u w:val="single"/>
        </w:rPr>
        <w:t>Three Approaches to Merit Pay</w:t>
      </w:r>
    </w:p>
    <w:p w:rsidR="00940855" w:rsidRPr="00CA6D01" w:rsidRDefault="00940855" w:rsidP="00940855">
      <w:pPr>
        <w:spacing w:after="0"/>
      </w:pPr>
      <w:r w:rsidRPr="00CA6D01">
        <w:t>There are limitless ways to award performance-based increases.  This guide highlights three common approaches that you may wish to consider.</w:t>
      </w:r>
      <w:r w:rsidR="0082418F">
        <w:t xml:space="preserve">  The options are arranged from least to most </w:t>
      </w:r>
      <w:proofErr w:type="gramStart"/>
      <w:r w:rsidR="0082418F">
        <w:t>structured</w:t>
      </w:r>
      <w:proofErr w:type="gramEnd"/>
      <w:r w:rsidR="0082418F">
        <w:t xml:space="preserve">. </w:t>
      </w:r>
      <w:r w:rsidRPr="00CA6D01">
        <w:t xml:space="preserve">Please note that the success of </w:t>
      </w:r>
      <w:r w:rsidR="001A4E8D">
        <w:t xml:space="preserve">any merit increase </w:t>
      </w:r>
      <w:r w:rsidRPr="00CA6D01">
        <w:t>model is highly dependent on the ability to</w:t>
      </w:r>
      <w:r w:rsidR="0082418F">
        <w:t>:</w:t>
      </w:r>
      <w:r w:rsidRPr="00CA6D01">
        <w:t xml:space="preserve"> </w:t>
      </w:r>
    </w:p>
    <w:p w:rsidR="00940855" w:rsidRPr="00CA6D01" w:rsidRDefault="00940855" w:rsidP="00940855">
      <w:pPr>
        <w:pStyle w:val="ListParagraph"/>
        <w:numPr>
          <w:ilvl w:val="0"/>
          <w:numId w:val="10"/>
        </w:numPr>
        <w:spacing w:after="0"/>
      </w:pPr>
      <w:r w:rsidRPr="00CA6D01">
        <w:t>Identify and sort people into unsatisfactory and low performance categories</w:t>
      </w:r>
    </w:p>
    <w:p w:rsidR="00940855" w:rsidRPr="00520D04" w:rsidRDefault="00940855" w:rsidP="00940855">
      <w:pPr>
        <w:pStyle w:val="ListParagraph"/>
        <w:numPr>
          <w:ilvl w:val="0"/>
          <w:numId w:val="10"/>
        </w:numPr>
        <w:spacing w:after="0"/>
      </w:pPr>
      <w:r w:rsidRPr="00CA6D01">
        <w:t>Award increase</w:t>
      </w:r>
      <w:r w:rsidR="00D3760D">
        <w:t>s</w:t>
      </w:r>
      <w:r w:rsidRPr="00CA6D01">
        <w:t xml:space="preserve"> to top performers that </w:t>
      </w:r>
      <w:r w:rsidR="00D3760D">
        <w:t>are</w:t>
      </w:r>
      <w:r w:rsidRPr="00CA6D01">
        <w:t xml:space="preserve"> 75-80% higher than </w:t>
      </w:r>
      <w:r w:rsidRPr="00520D04">
        <w:t>the 2.5% increase</w:t>
      </w:r>
      <w:r w:rsidR="0082418F" w:rsidRPr="00520D04">
        <w:t xml:space="preserve">.  This </w:t>
      </w:r>
      <w:r w:rsidR="001A4E8D" w:rsidRPr="00520D04">
        <w:t xml:space="preserve">translates to an </w:t>
      </w:r>
      <w:r w:rsidR="0082418F" w:rsidRPr="00520D04">
        <w:t>increase of 4-5%.</w:t>
      </w:r>
    </w:p>
    <w:p w:rsidR="0082418F" w:rsidRDefault="0082418F" w:rsidP="0082418F">
      <w:pPr>
        <w:spacing w:after="0"/>
        <w:rPr>
          <w:b/>
          <w:i/>
        </w:rPr>
      </w:pPr>
    </w:p>
    <w:p w:rsidR="00D572B4" w:rsidRDefault="00D572B4" w:rsidP="0082418F">
      <w:pPr>
        <w:spacing w:after="0"/>
        <w:rPr>
          <w:b/>
          <w:i/>
        </w:rPr>
      </w:pPr>
    </w:p>
    <w:p w:rsidR="00430475" w:rsidRDefault="00430475" w:rsidP="0082418F">
      <w:pPr>
        <w:spacing w:after="0"/>
        <w:rPr>
          <w:b/>
          <w:i/>
        </w:rPr>
      </w:pPr>
    </w:p>
    <w:p w:rsidR="0082418F" w:rsidRPr="00940855" w:rsidRDefault="0082418F" w:rsidP="0082418F">
      <w:pPr>
        <w:spacing w:after="0"/>
        <w:rPr>
          <w:b/>
          <w:i/>
          <w:sz w:val="24"/>
          <w:szCs w:val="24"/>
        </w:rPr>
      </w:pPr>
      <w:r w:rsidRPr="00940855">
        <w:rPr>
          <w:b/>
          <w:i/>
          <w:sz w:val="24"/>
          <w:szCs w:val="24"/>
        </w:rPr>
        <w:t xml:space="preserve">MODEL </w:t>
      </w:r>
      <w:r>
        <w:rPr>
          <w:b/>
          <w:i/>
          <w:sz w:val="24"/>
          <w:szCs w:val="24"/>
        </w:rPr>
        <w:t>1</w:t>
      </w:r>
      <w:r w:rsidRPr="00940855">
        <w:rPr>
          <w:b/>
          <w:i/>
          <w:sz w:val="24"/>
          <w:szCs w:val="24"/>
        </w:rPr>
        <w:t xml:space="preserve">:  UPSIDE POTENTIAL (BONUS OR INCREASE) FOR HIGHEST RANKED PERFORMERS </w:t>
      </w:r>
    </w:p>
    <w:p w:rsidR="0082418F" w:rsidRPr="0082418F" w:rsidRDefault="0082418F" w:rsidP="0082418F">
      <w:pPr>
        <w:spacing w:after="0"/>
        <w:rPr>
          <w:i/>
        </w:rPr>
      </w:pPr>
      <w:r w:rsidRPr="0082418F">
        <w:rPr>
          <w:i/>
        </w:rPr>
        <w:t>Best used when:</w:t>
      </w:r>
    </w:p>
    <w:p w:rsidR="0082418F" w:rsidRPr="00CA6D01" w:rsidRDefault="0082418F" w:rsidP="0082418F">
      <w:pPr>
        <w:pStyle w:val="ListParagraph"/>
        <w:numPr>
          <w:ilvl w:val="0"/>
          <w:numId w:val="7"/>
        </w:numPr>
        <w:spacing w:after="0"/>
      </w:pPr>
      <w:r w:rsidRPr="00CA6D01">
        <w:t xml:space="preserve">A simple approach to budgeting, administration and communication </w:t>
      </w:r>
      <w:r>
        <w:t>is desired</w:t>
      </w:r>
    </w:p>
    <w:p w:rsidR="0082418F" w:rsidRPr="00CA6D01" w:rsidRDefault="0082418F" w:rsidP="0082418F">
      <w:pPr>
        <w:pStyle w:val="ListParagraph"/>
        <w:numPr>
          <w:ilvl w:val="0"/>
          <w:numId w:val="7"/>
        </w:numPr>
        <w:spacing w:after="0"/>
      </w:pPr>
      <w:r w:rsidRPr="00CA6D01">
        <w:t xml:space="preserve">There is </w:t>
      </w:r>
      <w:r>
        <w:t xml:space="preserve">less than fully optimal structure </w:t>
      </w:r>
      <w:r w:rsidRPr="00CA6D01">
        <w:t xml:space="preserve">around job assignments and/or related market data </w:t>
      </w:r>
    </w:p>
    <w:p w:rsidR="0082418F" w:rsidRDefault="0082418F" w:rsidP="0082418F">
      <w:pPr>
        <w:pStyle w:val="ListParagraph"/>
        <w:numPr>
          <w:ilvl w:val="0"/>
          <w:numId w:val="7"/>
        </w:numPr>
        <w:spacing w:after="0"/>
      </w:pPr>
      <w:r w:rsidRPr="00CA6D01">
        <w:t xml:space="preserve">The </w:t>
      </w:r>
      <w:r w:rsidR="00D3760D">
        <w:t>unit</w:t>
      </w:r>
      <w:r w:rsidRPr="00CA6D01">
        <w:t xml:space="preserve"> is distributing a merit increase pool that is below, at, or above the University-Wide recommended merit increase</w:t>
      </w:r>
    </w:p>
    <w:p w:rsidR="0082418F" w:rsidRPr="00CA6D01" w:rsidRDefault="0082418F" w:rsidP="0082418F">
      <w:pPr>
        <w:pStyle w:val="ListParagraph"/>
        <w:spacing w:after="0"/>
        <w:ind w:left="360"/>
      </w:pPr>
    </w:p>
    <w:tbl>
      <w:tblPr>
        <w:tblStyle w:val="TableGrid"/>
        <w:tblW w:w="0" w:type="auto"/>
        <w:tblLook w:val="04A0" w:firstRow="1" w:lastRow="0" w:firstColumn="1" w:lastColumn="0" w:noHBand="0" w:noVBand="1"/>
      </w:tblPr>
      <w:tblGrid>
        <w:gridCol w:w="2088"/>
        <w:gridCol w:w="7488"/>
      </w:tblGrid>
      <w:tr w:rsidR="0082418F" w:rsidTr="008C0089">
        <w:tc>
          <w:tcPr>
            <w:tcW w:w="2088" w:type="dxa"/>
            <w:shd w:val="clear" w:color="auto" w:fill="808080" w:themeFill="background1" w:themeFillShade="80"/>
          </w:tcPr>
          <w:p w:rsidR="0082418F" w:rsidRDefault="0082418F" w:rsidP="002006DB">
            <w:r>
              <w:t>0%</w:t>
            </w:r>
          </w:p>
        </w:tc>
        <w:tc>
          <w:tcPr>
            <w:tcW w:w="7488" w:type="dxa"/>
          </w:tcPr>
          <w:p w:rsidR="0082418F" w:rsidRDefault="0082418F" w:rsidP="002006DB">
            <w:r w:rsidRPr="00CA6D01">
              <w:t>Given to un</w:t>
            </w:r>
            <w:r>
              <w:t>satisfactory and low performers</w:t>
            </w:r>
          </w:p>
        </w:tc>
      </w:tr>
      <w:tr w:rsidR="0082418F" w:rsidTr="008C0089">
        <w:tc>
          <w:tcPr>
            <w:tcW w:w="2088" w:type="dxa"/>
            <w:shd w:val="clear" w:color="auto" w:fill="D9D9D9" w:themeFill="background1" w:themeFillShade="D9"/>
          </w:tcPr>
          <w:p w:rsidR="0082418F" w:rsidRDefault="0082418F" w:rsidP="002006DB">
            <w:r w:rsidRPr="00520D04">
              <w:t>2%</w:t>
            </w:r>
          </w:p>
        </w:tc>
        <w:tc>
          <w:tcPr>
            <w:tcW w:w="7488" w:type="dxa"/>
          </w:tcPr>
          <w:p w:rsidR="0082418F" w:rsidRDefault="0082418F" w:rsidP="002006DB">
            <w:r w:rsidRPr="00CA6D01">
              <w:t>Given to all employees who are performing proficiently and beyond expectations</w:t>
            </w:r>
          </w:p>
        </w:tc>
      </w:tr>
      <w:tr w:rsidR="0082418F" w:rsidTr="008C0089">
        <w:tc>
          <w:tcPr>
            <w:tcW w:w="2088" w:type="dxa"/>
          </w:tcPr>
          <w:p w:rsidR="0082418F" w:rsidRDefault="0082418F" w:rsidP="008C0089">
            <w:r>
              <w:t>Additional Increase*</w:t>
            </w:r>
          </w:p>
        </w:tc>
        <w:tc>
          <w:tcPr>
            <w:tcW w:w="7488" w:type="dxa"/>
          </w:tcPr>
          <w:p w:rsidR="0082418F" w:rsidRDefault="0082418F" w:rsidP="002006DB">
            <w:r w:rsidRPr="00CA6D01">
              <w:t>Given to the highest performers in the college</w:t>
            </w:r>
            <w:r>
              <w:t xml:space="preserve"> / unit</w:t>
            </w:r>
          </w:p>
        </w:tc>
      </w:tr>
    </w:tbl>
    <w:p w:rsidR="0082418F" w:rsidRPr="00CA6D01" w:rsidRDefault="0082418F" w:rsidP="0082418F">
      <w:pPr>
        <w:spacing w:after="0"/>
      </w:pPr>
      <w:r w:rsidRPr="00CA6D01">
        <w:t xml:space="preserve">*The additional increase percentage should be determined by identifying the remaining dollars in the merit increase pool, determining the award amount </w:t>
      </w:r>
      <w:r>
        <w:t xml:space="preserve">the unit would </w:t>
      </w:r>
      <w:r w:rsidRPr="00CA6D01">
        <w:t xml:space="preserve">like to provide to the highest level performers, </w:t>
      </w:r>
      <w:proofErr w:type="gramStart"/>
      <w:r w:rsidRPr="00CA6D01">
        <w:t>then</w:t>
      </w:r>
      <w:proofErr w:type="gramEnd"/>
      <w:r w:rsidRPr="00CA6D01">
        <w:t xml:space="preserve"> dividing the remaining pool by the desired dollar amount.   This will tell you how many employees can receive this additional increase.</w:t>
      </w:r>
      <w:r>
        <w:t xml:space="preserve">  The increase could be added to base or awarded as a lump sum depending on the unit’s ability to pay.</w:t>
      </w:r>
    </w:p>
    <w:p w:rsidR="00D572B4" w:rsidRDefault="00D572B4" w:rsidP="00940855">
      <w:pPr>
        <w:spacing w:after="0"/>
      </w:pPr>
    </w:p>
    <w:p w:rsidR="00520D04" w:rsidRDefault="00520D04" w:rsidP="00940855">
      <w:pPr>
        <w:spacing w:after="0"/>
      </w:pPr>
    </w:p>
    <w:p w:rsidR="00520D04" w:rsidRDefault="00520D04" w:rsidP="00940855">
      <w:pPr>
        <w:spacing w:after="0"/>
      </w:pPr>
    </w:p>
    <w:p w:rsidR="00940855" w:rsidRPr="00940855" w:rsidRDefault="00940855" w:rsidP="00940855">
      <w:pPr>
        <w:spacing w:after="0"/>
        <w:rPr>
          <w:b/>
          <w:i/>
          <w:sz w:val="24"/>
          <w:szCs w:val="24"/>
        </w:rPr>
      </w:pPr>
      <w:r w:rsidRPr="00940855">
        <w:rPr>
          <w:b/>
          <w:i/>
          <w:sz w:val="24"/>
          <w:szCs w:val="24"/>
        </w:rPr>
        <w:t xml:space="preserve">MODEL </w:t>
      </w:r>
      <w:r w:rsidR="0082418F">
        <w:rPr>
          <w:b/>
          <w:i/>
          <w:sz w:val="24"/>
          <w:szCs w:val="24"/>
        </w:rPr>
        <w:t>2</w:t>
      </w:r>
      <w:r w:rsidRPr="00940855">
        <w:rPr>
          <w:b/>
          <w:i/>
          <w:sz w:val="24"/>
          <w:szCs w:val="24"/>
        </w:rPr>
        <w:t xml:space="preserve">:  PERCENT INCREASE AWARDED </w:t>
      </w:r>
      <w:r w:rsidR="00520D04">
        <w:rPr>
          <w:b/>
          <w:i/>
          <w:sz w:val="24"/>
          <w:szCs w:val="24"/>
        </w:rPr>
        <w:t>BASED ON PERFORMANCE RATING</w:t>
      </w:r>
    </w:p>
    <w:p w:rsidR="00940855" w:rsidRPr="00940855" w:rsidRDefault="00940855" w:rsidP="00940855">
      <w:pPr>
        <w:spacing w:after="0"/>
        <w:rPr>
          <w:i/>
        </w:rPr>
      </w:pPr>
      <w:r w:rsidRPr="00940855">
        <w:rPr>
          <w:i/>
        </w:rPr>
        <w:t>Best used when:</w:t>
      </w:r>
    </w:p>
    <w:p w:rsidR="00940855" w:rsidRPr="00CA6D01" w:rsidRDefault="00940855" w:rsidP="00940855">
      <w:pPr>
        <w:pStyle w:val="ListParagraph"/>
        <w:numPr>
          <w:ilvl w:val="0"/>
          <w:numId w:val="7"/>
        </w:numPr>
        <w:spacing w:after="0"/>
      </w:pPr>
      <w:r w:rsidRPr="00CA6D01">
        <w:t>A simple approach to budgeting, administration and communication is needed</w:t>
      </w:r>
    </w:p>
    <w:p w:rsidR="00940855" w:rsidRPr="00CA6D01" w:rsidRDefault="00940855" w:rsidP="00940855">
      <w:pPr>
        <w:pStyle w:val="ListParagraph"/>
        <w:numPr>
          <w:ilvl w:val="0"/>
          <w:numId w:val="7"/>
        </w:numPr>
        <w:spacing w:after="0"/>
      </w:pPr>
      <w:r w:rsidRPr="00CA6D01">
        <w:t xml:space="preserve">There is </w:t>
      </w:r>
      <w:r w:rsidR="0082418F">
        <w:t xml:space="preserve">less than fully optimal structure </w:t>
      </w:r>
      <w:r w:rsidRPr="00CA6D01">
        <w:t xml:space="preserve">around job assignments and/or related market data </w:t>
      </w:r>
    </w:p>
    <w:p w:rsidR="00940855" w:rsidRPr="00CA6D01" w:rsidRDefault="00940855" w:rsidP="00940855">
      <w:pPr>
        <w:pStyle w:val="ListParagraph"/>
        <w:numPr>
          <w:ilvl w:val="0"/>
          <w:numId w:val="7"/>
        </w:numPr>
        <w:spacing w:after="0"/>
      </w:pPr>
      <w:r w:rsidRPr="00CA6D01">
        <w:t xml:space="preserve">The </w:t>
      </w:r>
      <w:r w:rsidR="00D3760D">
        <w:t>unit</w:t>
      </w:r>
      <w:r w:rsidRPr="00CA6D01">
        <w:t xml:space="preserve"> is distributing the University-Wide recommended merit increase or a larger percentage</w:t>
      </w:r>
    </w:p>
    <w:p w:rsidR="00940855" w:rsidRPr="00CA6D01" w:rsidRDefault="00940855" w:rsidP="00940855">
      <w:pPr>
        <w:spacing w:after="0"/>
        <w:rPr>
          <w:b/>
          <w:i/>
        </w:rPr>
      </w:pPr>
    </w:p>
    <w:p w:rsidR="00940855" w:rsidRPr="00356DAA" w:rsidRDefault="00940855" w:rsidP="00940855">
      <w:pPr>
        <w:spacing w:after="0"/>
        <w:rPr>
          <w:b/>
          <w:i/>
        </w:rPr>
      </w:pPr>
      <w:r w:rsidRPr="00356DAA">
        <w:rPr>
          <w:b/>
          <w:i/>
        </w:rPr>
        <w:t>Using 3 Sort Categories</w:t>
      </w:r>
    </w:p>
    <w:tbl>
      <w:tblPr>
        <w:tblStyle w:val="TableGrid"/>
        <w:tblW w:w="0" w:type="auto"/>
        <w:tblLook w:val="04A0" w:firstRow="1" w:lastRow="0" w:firstColumn="1" w:lastColumn="0" w:noHBand="0" w:noVBand="1"/>
      </w:tblPr>
      <w:tblGrid>
        <w:gridCol w:w="3192"/>
        <w:gridCol w:w="3192"/>
        <w:gridCol w:w="3192"/>
      </w:tblGrid>
      <w:tr w:rsidR="00940855" w:rsidRPr="00520D04" w:rsidTr="002006DB">
        <w:trPr>
          <w:trHeight w:val="530"/>
        </w:trPr>
        <w:tc>
          <w:tcPr>
            <w:tcW w:w="3192" w:type="dxa"/>
            <w:shd w:val="clear" w:color="auto" w:fill="808080" w:themeFill="background1" w:themeFillShade="80"/>
          </w:tcPr>
          <w:p w:rsidR="0082418F" w:rsidRPr="00520D04" w:rsidRDefault="00940855" w:rsidP="0082418F">
            <w:pPr>
              <w:jc w:val="center"/>
            </w:pPr>
            <w:r w:rsidRPr="00520D04">
              <w:rPr>
                <w:b/>
                <w:i/>
              </w:rPr>
              <w:t>Lowest 1/3</w:t>
            </w:r>
          </w:p>
          <w:p w:rsidR="0082418F" w:rsidRPr="00520D04" w:rsidRDefault="0082418F" w:rsidP="0082418F">
            <w:pPr>
              <w:jc w:val="center"/>
              <w:rPr>
                <w:b/>
                <w:i/>
              </w:rPr>
            </w:pPr>
            <w:r w:rsidRPr="00520D04">
              <w:rPr>
                <w:b/>
                <w:i/>
              </w:rPr>
              <w:t>0-1% Increase</w:t>
            </w:r>
          </w:p>
          <w:p w:rsidR="00940855" w:rsidRPr="00520D04" w:rsidRDefault="0082418F" w:rsidP="0082418F">
            <w:pPr>
              <w:jc w:val="center"/>
              <w:rPr>
                <w:b/>
                <w:i/>
                <w:sz w:val="20"/>
                <w:szCs w:val="20"/>
              </w:rPr>
            </w:pPr>
            <w:r w:rsidRPr="00520D04">
              <w:rPr>
                <w:b/>
                <w:i/>
                <w:sz w:val="20"/>
                <w:szCs w:val="20"/>
              </w:rPr>
              <w:t>(0% for unsatisfactory performance)</w:t>
            </w:r>
          </w:p>
        </w:tc>
        <w:tc>
          <w:tcPr>
            <w:tcW w:w="3192" w:type="dxa"/>
            <w:shd w:val="clear" w:color="auto" w:fill="BFBFBF" w:themeFill="background1" w:themeFillShade="BF"/>
          </w:tcPr>
          <w:p w:rsidR="00940855" w:rsidRPr="00520D04" w:rsidRDefault="0082418F" w:rsidP="0082418F">
            <w:pPr>
              <w:jc w:val="center"/>
              <w:rPr>
                <w:b/>
                <w:i/>
              </w:rPr>
            </w:pPr>
            <w:r w:rsidRPr="00520D04">
              <w:rPr>
                <w:b/>
                <w:i/>
              </w:rPr>
              <w:t>Middle 1/3</w:t>
            </w:r>
          </w:p>
          <w:p w:rsidR="0082418F" w:rsidRPr="00520D04" w:rsidRDefault="0082418F" w:rsidP="0082418F">
            <w:pPr>
              <w:jc w:val="center"/>
              <w:rPr>
                <w:b/>
                <w:i/>
              </w:rPr>
            </w:pPr>
            <w:r w:rsidRPr="00520D04">
              <w:rPr>
                <w:b/>
                <w:i/>
              </w:rPr>
              <w:t>At/Slightly Below 2.5% Increase</w:t>
            </w:r>
          </w:p>
        </w:tc>
        <w:tc>
          <w:tcPr>
            <w:tcW w:w="3192" w:type="dxa"/>
          </w:tcPr>
          <w:p w:rsidR="00940855" w:rsidRPr="00520D04" w:rsidRDefault="00940855" w:rsidP="0082418F">
            <w:pPr>
              <w:jc w:val="center"/>
              <w:rPr>
                <w:b/>
                <w:i/>
              </w:rPr>
            </w:pPr>
            <w:r w:rsidRPr="00520D04">
              <w:rPr>
                <w:b/>
                <w:i/>
              </w:rPr>
              <w:t>Top 1/3</w:t>
            </w:r>
          </w:p>
          <w:p w:rsidR="0082418F" w:rsidRPr="00520D04" w:rsidRDefault="0082418F" w:rsidP="0082418F">
            <w:pPr>
              <w:jc w:val="center"/>
              <w:rPr>
                <w:b/>
                <w:i/>
              </w:rPr>
            </w:pPr>
            <w:r w:rsidRPr="00520D04">
              <w:rPr>
                <w:b/>
                <w:i/>
              </w:rPr>
              <w:t>4-5% Increase</w:t>
            </w:r>
          </w:p>
        </w:tc>
      </w:tr>
    </w:tbl>
    <w:p w:rsidR="00940855" w:rsidRPr="00520D04" w:rsidRDefault="00940855" w:rsidP="00940855">
      <w:pPr>
        <w:spacing w:after="0"/>
        <w:rPr>
          <w:b/>
          <w:i/>
        </w:rPr>
      </w:pPr>
    </w:p>
    <w:p w:rsidR="00430475" w:rsidRDefault="00430475" w:rsidP="00940855">
      <w:pPr>
        <w:spacing w:after="0"/>
        <w:rPr>
          <w:b/>
          <w:i/>
        </w:rPr>
      </w:pPr>
    </w:p>
    <w:p w:rsidR="00430475" w:rsidRDefault="00430475" w:rsidP="00940855">
      <w:pPr>
        <w:spacing w:after="0"/>
        <w:rPr>
          <w:b/>
          <w:i/>
        </w:rPr>
      </w:pPr>
    </w:p>
    <w:p w:rsidR="00940855" w:rsidRPr="00520D04" w:rsidRDefault="00940855" w:rsidP="00940855">
      <w:pPr>
        <w:spacing w:after="0"/>
        <w:rPr>
          <w:b/>
          <w:i/>
        </w:rPr>
      </w:pPr>
      <w:r w:rsidRPr="00520D04">
        <w:rPr>
          <w:b/>
          <w:i/>
        </w:rPr>
        <w:t>Using 4 Sort Categories</w:t>
      </w:r>
    </w:p>
    <w:tbl>
      <w:tblPr>
        <w:tblStyle w:val="TableGrid"/>
        <w:tblW w:w="0" w:type="auto"/>
        <w:tblLook w:val="04A0" w:firstRow="1" w:lastRow="0" w:firstColumn="1" w:lastColumn="0" w:noHBand="0" w:noVBand="1"/>
      </w:tblPr>
      <w:tblGrid>
        <w:gridCol w:w="2394"/>
        <w:gridCol w:w="2394"/>
        <w:gridCol w:w="2394"/>
        <w:gridCol w:w="2394"/>
      </w:tblGrid>
      <w:tr w:rsidR="00940855" w:rsidRPr="00520D04" w:rsidTr="00027D7C">
        <w:trPr>
          <w:trHeight w:val="998"/>
        </w:trPr>
        <w:tc>
          <w:tcPr>
            <w:tcW w:w="2394" w:type="dxa"/>
            <w:shd w:val="clear" w:color="auto" w:fill="808080" w:themeFill="background1" w:themeFillShade="80"/>
          </w:tcPr>
          <w:p w:rsidR="00940855" w:rsidRPr="00520D04" w:rsidRDefault="00940855" w:rsidP="0082418F">
            <w:pPr>
              <w:jc w:val="center"/>
              <w:rPr>
                <w:b/>
                <w:i/>
              </w:rPr>
            </w:pPr>
            <w:r w:rsidRPr="00520D04">
              <w:rPr>
                <w:b/>
                <w:i/>
              </w:rPr>
              <w:t>Unsatisfactory</w:t>
            </w:r>
          </w:p>
          <w:p w:rsidR="0082418F" w:rsidRPr="00520D04" w:rsidRDefault="0082418F" w:rsidP="0082418F">
            <w:pPr>
              <w:jc w:val="center"/>
              <w:rPr>
                <w:b/>
                <w:i/>
              </w:rPr>
            </w:pPr>
          </w:p>
          <w:p w:rsidR="0082418F" w:rsidRPr="00520D04" w:rsidRDefault="0082418F" w:rsidP="0082418F">
            <w:pPr>
              <w:jc w:val="center"/>
              <w:rPr>
                <w:b/>
                <w:i/>
              </w:rPr>
            </w:pPr>
            <w:r w:rsidRPr="00520D04">
              <w:rPr>
                <w:b/>
                <w:i/>
              </w:rPr>
              <w:t>0%</w:t>
            </w:r>
          </w:p>
        </w:tc>
        <w:tc>
          <w:tcPr>
            <w:tcW w:w="2394" w:type="dxa"/>
            <w:shd w:val="clear" w:color="auto" w:fill="808080" w:themeFill="background1" w:themeFillShade="80"/>
          </w:tcPr>
          <w:p w:rsidR="00940855" w:rsidRPr="00520D04" w:rsidRDefault="00940855" w:rsidP="0082418F">
            <w:pPr>
              <w:jc w:val="center"/>
              <w:rPr>
                <w:b/>
                <w:i/>
              </w:rPr>
            </w:pPr>
            <w:r w:rsidRPr="00520D04">
              <w:rPr>
                <w:b/>
                <w:i/>
              </w:rPr>
              <w:t>Requires Improvement</w:t>
            </w:r>
          </w:p>
          <w:p w:rsidR="0082418F" w:rsidRPr="00520D04" w:rsidRDefault="0082418F" w:rsidP="0082418F">
            <w:pPr>
              <w:jc w:val="center"/>
              <w:rPr>
                <w:b/>
                <w:i/>
              </w:rPr>
            </w:pPr>
          </w:p>
          <w:p w:rsidR="0082418F" w:rsidRPr="00520D04" w:rsidRDefault="0082418F" w:rsidP="0082418F">
            <w:pPr>
              <w:jc w:val="center"/>
              <w:rPr>
                <w:b/>
                <w:i/>
              </w:rPr>
            </w:pPr>
            <w:r w:rsidRPr="00520D04">
              <w:rPr>
                <w:b/>
                <w:i/>
              </w:rPr>
              <w:t>1%</w:t>
            </w:r>
          </w:p>
        </w:tc>
        <w:tc>
          <w:tcPr>
            <w:tcW w:w="2394" w:type="dxa"/>
            <w:shd w:val="clear" w:color="auto" w:fill="BFBFBF" w:themeFill="background1" w:themeFillShade="BF"/>
          </w:tcPr>
          <w:p w:rsidR="00940855" w:rsidRPr="00520D04" w:rsidRDefault="00940855" w:rsidP="0082418F">
            <w:pPr>
              <w:jc w:val="center"/>
              <w:rPr>
                <w:b/>
                <w:i/>
              </w:rPr>
            </w:pPr>
            <w:r w:rsidRPr="00520D04">
              <w:rPr>
                <w:b/>
                <w:i/>
              </w:rPr>
              <w:t>Proficient</w:t>
            </w:r>
          </w:p>
          <w:p w:rsidR="0082418F" w:rsidRPr="00520D04" w:rsidRDefault="0082418F" w:rsidP="0082418F">
            <w:pPr>
              <w:jc w:val="center"/>
              <w:rPr>
                <w:b/>
                <w:i/>
              </w:rPr>
            </w:pPr>
          </w:p>
          <w:p w:rsidR="0082418F" w:rsidRPr="00520D04" w:rsidRDefault="0082418F" w:rsidP="0082418F">
            <w:pPr>
              <w:jc w:val="center"/>
              <w:rPr>
                <w:b/>
                <w:i/>
              </w:rPr>
            </w:pPr>
            <w:r w:rsidRPr="00520D04">
              <w:rPr>
                <w:b/>
                <w:i/>
              </w:rPr>
              <w:t>At/Slightly Below 2.5%</w:t>
            </w:r>
          </w:p>
        </w:tc>
        <w:tc>
          <w:tcPr>
            <w:tcW w:w="2394" w:type="dxa"/>
          </w:tcPr>
          <w:p w:rsidR="0082418F" w:rsidRPr="00520D04" w:rsidRDefault="00940855" w:rsidP="0082418F">
            <w:pPr>
              <w:jc w:val="center"/>
              <w:rPr>
                <w:b/>
                <w:i/>
              </w:rPr>
            </w:pPr>
            <w:r w:rsidRPr="00520D04">
              <w:rPr>
                <w:b/>
                <w:i/>
              </w:rPr>
              <w:t>Exceeds Performance / Outstanding</w:t>
            </w:r>
          </w:p>
          <w:p w:rsidR="00940855" w:rsidRPr="00520D04" w:rsidRDefault="0082418F" w:rsidP="0082418F">
            <w:pPr>
              <w:jc w:val="center"/>
              <w:rPr>
                <w:b/>
                <w:i/>
              </w:rPr>
            </w:pPr>
            <w:r w:rsidRPr="00520D04">
              <w:rPr>
                <w:b/>
                <w:i/>
              </w:rPr>
              <w:t>4-5%</w:t>
            </w:r>
          </w:p>
        </w:tc>
      </w:tr>
    </w:tbl>
    <w:p w:rsidR="00520D04" w:rsidRDefault="00520D04" w:rsidP="00940855">
      <w:pPr>
        <w:spacing w:after="0"/>
        <w:rPr>
          <w:b/>
          <w:i/>
        </w:rPr>
      </w:pPr>
    </w:p>
    <w:p w:rsidR="00940855" w:rsidRPr="00520D04" w:rsidRDefault="00940855" w:rsidP="00940855">
      <w:pPr>
        <w:spacing w:after="0"/>
        <w:rPr>
          <w:b/>
          <w:i/>
        </w:rPr>
      </w:pPr>
      <w:r w:rsidRPr="00520D04">
        <w:rPr>
          <w:b/>
          <w:i/>
        </w:rPr>
        <w:t>Using 5 Sort Categories</w:t>
      </w:r>
    </w:p>
    <w:tbl>
      <w:tblPr>
        <w:tblStyle w:val="TableGrid"/>
        <w:tblW w:w="9575" w:type="dxa"/>
        <w:tblLook w:val="04A0" w:firstRow="1" w:lastRow="0" w:firstColumn="1" w:lastColumn="0" w:noHBand="0" w:noVBand="1"/>
      </w:tblPr>
      <w:tblGrid>
        <w:gridCol w:w="1915"/>
        <w:gridCol w:w="1915"/>
        <w:gridCol w:w="1915"/>
        <w:gridCol w:w="1915"/>
        <w:gridCol w:w="1915"/>
      </w:tblGrid>
      <w:tr w:rsidR="00940855" w:rsidRPr="00356DAA" w:rsidTr="00027D7C">
        <w:trPr>
          <w:trHeight w:val="1160"/>
        </w:trPr>
        <w:tc>
          <w:tcPr>
            <w:tcW w:w="1915" w:type="dxa"/>
            <w:shd w:val="clear" w:color="auto" w:fill="808080" w:themeFill="background1" w:themeFillShade="80"/>
          </w:tcPr>
          <w:p w:rsidR="00940855" w:rsidRPr="00520D04" w:rsidRDefault="00940855" w:rsidP="0082418F">
            <w:pPr>
              <w:jc w:val="center"/>
              <w:rPr>
                <w:b/>
                <w:i/>
              </w:rPr>
            </w:pPr>
            <w:r w:rsidRPr="00520D04">
              <w:rPr>
                <w:b/>
                <w:i/>
              </w:rPr>
              <w:t>Unsatisfactory</w:t>
            </w:r>
          </w:p>
          <w:p w:rsidR="0082418F" w:rsidRPr="00520D04" w:rsidRDefault="0082418F" w:rsidP="0082418F">
            <w:pPr>
              <w:jc w:val="center"/>
              <w:rPr>
                <w:b/>
                <w:i/>
              </w:rPr>
            </w:pPr>
          </w:p>
          <w:p w:rsidR="0082418F" w:rsidRPr="00520D04" w:rsidRDefault="0082418F" w:rsidP="0082418F">
            <w:pPr>
              <w:jc w:val="center"/>
              <w:rPr>
                <w:b/>
                <w:i/>
              </w:rPr>
            </w:pPr>
            <w:r w:rsidRPr="00520D04">
              <w:rPr>
                <w:b/>
                <w:i/>
              </w:rPr>
              <w:t>0%</w:t>
            </w:r>
          </w:p>
        </w:tc>
        <w:tc>
          <w:tcPr>
            <w:tcW w:w="1915" w:type="dxa"/>
            <w:shd w:val="clear" w:color="auto" w:fill="808080" w:themeFill="background1" w:themeFillShade="80"/>
          </w:tcPr>
          <w:p w:rsidR="00940855" w:rsidRPr="00520D04" w:rsidRDefault="00940855" w:rsidP="0082418F">
            <w:pPr>
              <w:jc w:val="center"/>
              <w:rPr>
                <w:b/>
                <w:i/>
              </w:rPr>
            </w:pPr>
            <w:r w:rsidRPr="00520D04">
              <w:rPr>
                <w:b/>
                <w:i/>
              </w:rPr>
              <w:t>Requires Improvement</w:t>
            </w:r>
          </w:p>
          <w:p w:rsidR="0082418F" w:rsidRPr="00520D04" w:rsidRDefault="0082418F" w:rsidP="0082418F">
            <w:pPr>
              <w:jc w:val="center"/>
              <w:rPr>
                <w:b/>
                <w:i/>
              </w:rPr>
            </w:pPr>
            <w:r w:rsidRPr="00520D04">
              <w:rPr>
                <w:b/>
                <w:i/>
              </w:rPr>
              <w:t>1%</w:t>
            </w:r>
          </w:p>
        </w:tc>
        <w:tc>
          <w:tcPr>
            <w:tcW w:w="1915" w:type="dxa"/>
            <w:shd w:val="clear" w:color="auto" w:fill="BFBFBF" w:themeFill="background1" w:themeFillShade="BF"/>
          </w:tcPr>
          <w:p w:rsidR="00940855" w:rsidRPr="00520D04" w:rsidRDefault="00940855" w:rsidP="0082418F">
            <w:pPr>
              <w:jc w:val="center"/>
              <w:rPr>
                <w:b/>
                <w:i/>
              </w:rPr>
            </w:pPr>
            <w:r w:rsidRPr="00520D04">
              <w:rPr>
                <w:b/>
                <w:i/>
              </w:rPr>
              <w:t>Proficient</w:t>
            </w:r>
          </w:p>
          <w:p w:rsidR="0082418F" w:rsidRPr="00520D04" w:rsidRDefault="0082418F" w:rsidP="0082418F">
            <w:pPr>
              <w:jc w:val="center"/>
              <w:rPr>
                <w:b/>
                <w:i/>
              </w:rPr>
            </w:pPr>
          </w:p>
          <w:p w:rsidR="0082418F" w:rsidRPr="00520D04" w:rsidRDefault="0082418F" w:rsidP="0082418F">
            <w:pPr>
              <w:jc w:val="center"/>
              <w:rPr>
                <w:b/>
                <w:i/>
              </w:rPr>
            </w:pPr>
            <w:r w:rsidRPr="00520D04">
              <w:rPr>
                <w:b/>
                <w:i/>
              </w:rPr>
              <w:t>At/Slightly Below 2.5%</w:t>
            </w:r>
          </w:p>
        </w:tc>
        <w:tc>
          <w:tcPr>
            <w:tcW w:w="1915" w:type="dxa"/>
          </w:tcPr>
          <w:p w:rsidR="00940855" w:rsidRPr="00520D04" w:rsidRDefault="00940855" w:rsidP="0082418F">
            <w:pPr>
              <w:jc w:val="center"/>
              <w:rPr>
                <w:b/>
                <w:i/>
              </w:rPr>
            </w:pPr>
            <w:r w:rsidRPr="00520D04">
              <w:rPr>
                <w:b/>
                <w:i/>
              </w:rPr>
              <w:t>Exceeds Performance</w:t>
            </w:r>
          </w:p>
          <w:p w:rsidR="0082418F" w:rsidRPr="00520D04" w:rsidRDefault="0082418F" w:rsidP="0082418F">
            <w:pPr>
              <w:jc w:val="center"/>
              <w:rPr>
                <w:b/>
                <w:i/>
              </w:rPr>
            </w:pPr>
            <w:r w:rsidRPr="00520D04">
              <w:rPr>
                <w:b/>
                <w:i/>
              </w:rPr>
              <w:t>4%</w:t>
            </w:r>
          </w:p>
        </w:tc>
        <w:tc>
          <w:tcPr>
            <w:tcW w:w="1915" w:type="dxa"/>
          </w:tcPr>
          <w:p w:rsidR="00940855" w:rsidRPr="00520D04" w:rsidRDefault="00940855" w:rsidP="0082418F">
            <w:pPr>
              <w:jc w:val="center"/>
              <w:rPr>
                <w:b/>
                <w:i/>
              </w:rPr>
            </w:pPr>
            <w:r w:rsidRPr="00520D04">
              <w:rPr>
                <w:b/>
                <w:i/>
              </w:rPr>
              <w:t>Outstanding</w:t>
            </w:r>
          </w:p>
          <w:p w:rsidR="0082418F" w:rsidRPr="00520D04" w:rsidRDefault="0082418F" w:rsidP="0082418F">
            <w:pPr>
              <w:jc w:val="center"/>
              <w:rPr>
                <w:b/>
                <w:i/>
              </w:rPr>
            </w:pPr>
          </w:p>
          <w:p w:rsidR="0082418F" w:rsidRPr="00356DAA" w:rsidRDefault="0082418F" w:rsidP="0082418F">
            <w:pPr>
              <w:jc w:val="center"/>
              <w:rPr>
                <w:b/>
                <w:i/>
              </w:rPr>
            </w:pPr>
            <w:r w:rsidRPr="00520D04">
              <w:rPr>
                <w:b/>
                <w:i/>
              </w:rPr>
              <w:t>5%</w:t>
            </w:r>
          </w:p>
        </w:tc>
      </w:tr>
    </w:tbl>
    <w:p w:rsidR="00940855" w:rsidRDefault="00940855" w:rsidP="00940855">
      <w:pPr>
        <w:spacing w:after="0"/>
        <w:rPr>
          <w:b/>
          <w:i/>
          <w:highlight w:val="yellow"/>
        </w:rPr>
      </w:pPr>
    </w:p>
    <w:p w:rsidR="00940855" w:rsidRDefault="00940855" w:rsidP="00940855">
      <w:pPr>
        <w:spacing w:after="0"/>
        <w:rPr>
          <w:b/>
          <w:i/>
          <w:highlight w:val="yellow"/>
        </w:rPr>
      </w:pPr>
    </w:p>
    <w:p w:rsidR="00D572B4" w:rsidRDefault="00D572B4" w:rsidP="00940855">
      <w:pPr>
        <w:spacing w:after="0"/>
        <w:rPr>
          <w:b/>
          <w:i/>
          <w:highlight w:val="yellow"/>
        </w:rPr>
      </w:pPr>
    </w:p>
    <w:p w:rsidR="00940855" w:rsidRPr="00940855" w:rsidRDefault="00940855" w:rsidP="00940855">
      <w:pPr>
        <w:spacing w:after="0"/>
        <w:rPr>
          <w:b/>
          <w:i/>
          <w:sz w:val="24"/>
          <w:szCs w:val="24"/>
        </w:rPr>
      </w:pPr>
      <w:r w:rsidRPr="00940855">
        <w:rPr>
          <w:b/>
          <w:i/>
          <w:sz w:val="24"/>
          <w:szCs w:val="24"/>
        </w:rPr>
        <w:t xml:space="preserve">MODEL </w:t>
      </w:r>
      <w:r w:rsidR="0082418F">
        <w:rPr>
          <w:b/>
          <w:i/>
          <w:sz w:val="24"/>
          <w:szCs w:val="24"/>
        </w:rPr>
        <w:t>3</w:t>
      </w:r>
      <w:r w:rsidRPr="00940855">
        <w:rPr>
          <w:b/>
          <w:i/>
          <w:sz w:val="24"/>
          <w:szCs w:val="24"/>
        </w:rPr>
        <w:t>:  PERCENT INCREASE AWARDED BASED ON PERFORMANCE RATING AND RANGE POSITION</w:t>
      </w:r>
    </w:p>
    <w:p w:rsidR="00940855" w:rsidRPr="00617509" w:rsidRDefault="00940855" w:rsidP="00940855">
      <w:pPr>
        <w:spacing w:after="0"/>
      </w:pPr>
      <w:r w:rsidRPr="00617509">
        <w:t xml:space="preserve">Best Used When:  </w:t>
      </w:r>
    </w:p>
    <w:p w:rsidR="00940855" w:rsidRPr="00617509" w:rsidRDefault="00940855" w:rsidP="00940855">
      <w:pPr>
        <w:pStyle w:val="ListParagraph"/>
        <w:numPr>
          <w:ilvl w:val="0"/>
          <w:numId w:val="9"/>
        </w:numPr>
        <w:spacing w:after="0"/>
      </w:pPr>
      <w:r w:rsidRPr="00617509">
        <w:t xml:space="preserve">There are well-established and accepted job assignments and related market data </w:t>
      </w:r>
    </w:p>
    <w:p w:rsidR="00940855" w:rsidRPr="00617509" w:rsidRDefault="00940855" w:rsidP="00940855">
      <w:pPr>
        <w:pStyle w:val="ListParagraph"/>
        <w:numPr>
          <w:ilvl w:val="0"/>
          <w:numId w:val="9"/>
        </w:numPr>
        <w:spacing w:after="0"/>
      </w:pPr>
      <w:r w:rsidRPr="00617509">
        <w:t xml:space="preserve">The </w:t>
      </w:r>
      <w:r w:rsidR="00D3760D">
        <w:t>unit</w:t>
      </w:r>
      <w:r w:rsidRPr="00617509">
        <w:t xml:space="preserve"> is distributing the University-Wide recommended merit increase or a larger percentage</w:t>
      </w:r>
    </w:p>
    <w:p w:rsidR="00940855" w:rsidRPr="00617509" w:rsidRDefault="00940855" w:rsidP="00940855">
      <w:pPr>
        <w:spacing w:after="0"/>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940855" w:rsidRPr="00617509" w:rsidTr="002006DB">
        <w:tc>
          <w:tcPr>
            <w:tcW w:w="1596" w:type="dxa"/>
          </w:tcPr>
          <w:p w:rsidR="00940855" w:rsidRPr="00617509" w:rsidRDefault="00940855" w:rsidP="002006DB">
            <w:pPr>
              <w:jc w:val="center"/>
            </w:pPr>
          </w:p>
        </w:tc>
        <w:tc>
          <w:tcPr>
            <w:tcW w:w="1596" w:type="dxa"/>
          </w:tcPr>
          <w:p w:rsidR="00940855" w:rsidRPr="00617509" w:rsidRDefault="00940855" w:rsidP="002006DB">
            <w:pPr>
              <w:jc w:val="center"/>
            </w:pPr>
            <w:r w:rsidRPr="00617509">
              <w:t>Performance is Unsatisfactory</w:t>
            </w:r>
          </w:p>
        </w:tc>
        <w:tc>
          <w:tcPr>
            <w:tcW w:w="1596" w:type="dxa"/>
          </w:tcPr>
          <w:p w:rsidR="00940855" w:rsidRPr="00617509" w:rsidRDefault="00940855" w:rsidP="002006DB">
            <w:pPr>
              <w:jc w:val="center"/>
            </w:pPr>
            <w:r w:rsidRPr="00617509">
              <w:t>Performance Requires Improvement</w:t>
            </w:r>
          </w:p>
        </w:tc>
        <w:tc>
          <w:tcPr>
            <w:tcW w:w="1596" w:type="dxa"/>
          </w:tcPr>
          <w:p w:rsidR="00940855" w:rsidRPr="00617509" w:rsidRDefault="00940855" w:rsidP="002006DB">
            <w:pPr>
              <w:jc w:val="center"/>
            </w:pPr>
            <w:r w:rsidRPr="00617509">
              <w:t>Performance is Proficient</w:t>
            </w:r>
          </w:p>
        </w:tc>
        <w:tc>
          <w:tcPr>
            <w:tcW w:w="1596" w:type="dxa"/>
          </w:tcPr>
          <w:p w:rsidR="00940855" w:rsidRPr="00617509" w:rsidRDefault="00940855" w:rsidP="002006DB">
            <w:pPr>
              <w:jc w:val="center"/>
            </w:pPr>
            <w:r w:rsidRPr="00617509">
              <w:t>Performance Exceeds Expectations</w:t>
            </w:r>
          </w:p>
        </w:tc>
        <w:tc>
          <w:tcPr>
            <w:tcW w:w="1596" w:type="dxa"/>
          </w:tcPr>
          <w:p w:rsidR="00940855" w:rsidRPr="00617509" w:rsidRDefault="00940855" w:rsidP="002006DB">
            <w:pPr>
              <w:jc w:val="center"/>
            </w:pPr>
            <w:r w:rsidRPr="00617509">
              <w:t>Performance is Outstanding</w:t>
            </w:r>
          </w:p>
        </w:tc>
      </w:tr>
      <w:tr w:rsidR="00940855" w:rsidRPr="00617509" w:rsidTr="002006DB">
        <w:tc>
          <w:tcPr>
            <w:tcW w:w="1596" w:type="dxa"/>
          </w:tcPr>
          <w:p w:rsidR="00940855" w:rsidRPr="00617509" w:rsidRDefault="00940855" w:rsidP="002006DB">
            <w:pPr>
              <w:jc w:val="center"/>
            </w:pPr>
            <w:r w:rsidRPr="00617509">
              <w:t>Salary is High In Range</w:t>
            </w:r>
          </w:p>
        </w:tc>
        <w:tc>
          <w:tcPr>
            <w:tcW w:w="1596" w:type="dxa"/>
            <w:shd w:val="clear" w:color="auto" w:fill="808080" w:themeFill="background1" w:themeFillShade="80"/>
          </w:tcPr>
          <w:p w:rsidR="00940855" w:rsidRPr="00617509" w:rsidRDefault="00940855" w:rsidP="002006DB">
            <w:pPr>
              <w:jc w:val="center"/>
            </w:pPr>
            <w:r w:rsidRPr="00617509">
              <w:t>0%</w:t>
            </w:r>
          </w:p>
        </w:tc>
        <w:tc>
          <w:tcPr>
            <w:tcW w:w="1596" w:type="dxa"/>
            <w:shd w:val="clear" w:color="auto" w:fill="808080" w:themeFill="background1" w:themeFillShade="80"/>
          </w:tcPr>
          <w:p w:rsidR="00940855" w:rsidRPr="00520D04" w:rsidRDefault="00940855" w:rsidP="002006DB">
            <w:pPr>
              <w:jc w:val="center"/>
            </w:pPr>
            <w:r w:rsidRPr="00520D04">
              <w:t>0%</w:t>
            </w:r>
          </w:p>
        </w:tc>
        <w:tc>
          <w:tcPr>
            <w:tcW w:w="1596" w:type="dxa"/>
            <w:shd w:val="clear" w:color="auto" w:fill="808080" w:themeFill="background1" w:themeFillShade="80"/>
          </w:tcPr>
          <w:p w:rsidR="00940855" w:rsidRPr="00520D04" w:rsidRDefault="00940855" w:rsidP="002006DB">
            <w:pPr>
              <w:jc w:val="center"/>
            </w:pPr>
            <w:r w:rsidRPr="00520D04">
              <w:t>1.5%</w:t>
            </w:r>
          </w:p>
        </w:tc>
        <w:tc>
          <w:tcPr>
            <w:tcW w:w="1596" w:type="dxa"/>
            <w:shd w:val="clear" w:color="auto" w:fill="BFBFBF" w:themeFill="background1" w:themeFillShade="BF"/>
          </w:tcPr>
          <w:p w:rsidR="00940855" w:rsidRPr="00520D04" w:rsidRDefault="00940855" w:rsidP="002006DB">
            <w:pPr>
              <w:jc w:val="center"/>
            </w:pPr>
            <w:r w:rsidRPr="00520D04">
              <w:t>2.5%</w:t>
            </w:r>
          </w:p>
        </w:tc>
        <w:tc>
          <w:tcPr>
            <w:tcW w:w="1596" w:type="dxa"/>
            <w:shd w:val="clear" w:color="auto" w:fill="BFBFBF" w:themeFill="background1" w:themeFillShade="BF"/>
          </w:tcPr>
          <w:p w:rsidR="00940855" w:rsidRPr="00520D04" w:rsidRDefault="00940855" w:rsidP="002006DB">
            <w:pPr>
              <w:jc w:val="center"/>
            </w:pPr>
            <w:r w:rsidRPr="00520D04">
              <w:t>2.5%</w:t>
            </w:r>
          </w:p>
        </w:tc>
      </w:tr>
      <w:tr w:rsidR="00940855" w:rsidRPr="00617509" w:rsidTr="002006DB">
        <w:tc>
          <w:tcPr>
            <w:tcW w:w="1596" w:type="dxa"/>
          </w:tcPr>
          <w:p w:rsidR="00940855" w:rsidRPr="00617509" w:rsidRDefault="00940855" w:rsidP="002006DB">
            <w:pPr>
              <w:jc w:val="center"/>
            </w:pPr>
            <w:r w:rsidRPr="00617509">
              <w:t>Salary is Mid-Range</w:t>
            </w:r>
          </w:p>
        </w:tc>
        <w:tc>
          <w:tcPr>
            <w:tcW w:w="1596" w:type="dxa"/>
            <w:shd w:val="clear" w:color="auto" w:fill="808080" w:themeFill="background1" w:themeFillShade="80"/>
          </w:tcPr>
          <w:p w:rsidR="00940855" w:rsidRPr="00617509" w:rsidRDefault="00940855" w:rsidP="002006DB">
            <w:pPr>
              <w:jc w:val="center"/>
            </w:pPr>
            <w:r w:rsidRPr="00617509">
              <w:t>0%</w:t>
            </w:r>
          </w:p>
        </w:tc>
        <w:tc>
          <w:tcPr>
            <w:tcW w:w="1596" w:type="dxa"/>
            <w:shd w:val="clear" w:color="auto" w:fill="808080" w:themeFill="background1" w:themeFillShade="80"/>
          </w:tcPr>
          <w:p w:rsidR="00940855" w:rsidRPr="00520D04" w:rsidRDefault="00940855" w:rsidP="002006DB">
            <w:pPr>
              <w:jc w:val="center"/>
            </w:pPr>
            <w:r w:rsidRPr="00520D04">
              <w:t>1%</w:t>
            </w:r>
          </w:p>
        </w:tc>
        <w:tc>
          <w:tcPr>
            <w:tcW w:w="1596" w:type="dxa"/>
            <w:shd w:val="clear" w:color="auto" w:fill="BFBFBF" w:themeFill="background1" w:themeFillShade="BF"/>
          </w:tcPr>
          <w:p w:rsidR="00940855" w:rsidRPr="00520D04" w:rsidRDefault="00940855" w:rsidP="002006DB">
            <w:pPr>
              <w:jc w:val="center"/>
            </w:pPr>
            <w:r w:rsidRPr="00520D04">
              <w:t>2.5%</w:t>
            </w:r>
          </w:p>
        </w:tc>
        <w:tc>
          <w:tcPr>
            <w:tcW w:w="1596" w:type="dxa"/>
          </w:tcPr>
          <w:p w:rsidR="00940855" w:rsidRPr="00520D04" w:rsidRDefault="00940855" w:rsidP="002006DB">
            <w:pPr>
              <w:jc w:val="center"/>
            </w:pPr>
            <w:r w:rsidRPr="00520D04">
              <w:t>3%</w:t>
            </w:r>
          </w:p>
        </w:tc>
        <w:tc>
          <w:tcPr>
            <w:tcW w:w="1596" w:type="dxa"/>
          </w:tcPr>
          <w:p w:rsidR="00940855" w:rsidRPr="00520D04" w:rsidRDefault="00940855" w:rsidP="002006DB">
            <w:pPr>
              <w:jc w:val="center"/>
            </w:pPr>
            <w:r w:rsidRPr="00520D04">
              <w:t>4%</w:t>
            </w:r>
          </w:p>
        </w:tc>
      </w:tr>
      <w:tr w:rsidR="00940855" w:rsidRPr="00617509" w:rsidTr="002006DB">
        <w:trPr>
          <w:trHeight w:val="548"/>
        </w:trPr>
        <w:tc>
          <w:tcPr>
            <w:tcW w:w="1596" w:type="dxa"/>
          </w:tcPr>
          <w:p w:rsidR="00940855" w:rsidRPr="00617509" w:rsidRDefault="00940855" w:rsidP="002006DB">
            <w:pPr>
              <w:jc w:val="center"/>
            </w:pPr>
            <w:r w:rsidRPr="00617509">
              <w:t>Salary is Low In Range</w:t>
            </w:r>
          </w:p>
        </w:tc>
        <w:tc>
          <w:tcPr>
            <w:tcW w:w="1596" w:type="dxa"/>
            <w:shd w:val="clear" w:color="auto" w:fill="808080" w:themeFill="background1" w:themeFillShade="80"/>
          </w:tcPr>
          <w:p w:rsidR="00940855" w:rsidRPr="00617509" w:rsidRDefault="00940855" w:rsidP="002006DB">
            <w:pPr>
              <w:jc w:val="center"/>
            </w:pPr>
            <w:r w:rsidRPr="00617509">
              <w:t>0%</w:t>
            </w:r>
          </w:p>
        </w:tc>
        <w:tc>
          <w:tcPr>
            <w:tcW w:w="1596" w:type="dxa"/>
            <w:shd w:val="clear" w:color="auto" w:fill="808080" w:themeFill="background1" w:themeFillShade="80"/>
          </w:tcPr>
          <w:p w:rsidR="00940855" w:rsidRPr="00520D04" w:rsidRDefault="00940855" w:rsidP="002006DB">
            <w:pPr>
              <w:jc w:val="center"/>
            </w:pPr>
            <w:r w:rsidRPr="00520D04">
              <w:t>1%</w:t>
            </w:r>
          </w:p>
        </w:tc>
        <w:tc>
          <w:tcPr>
            <w:tcW w:w="1596" w:type="dxa"/>
          </w:tcPr>
          <w:p w:rsidR="00940855" w:rsidRPr="00520D04" w:rsidRDefault="00940855" w:rsidP="002006DB">
            <w:pPr>
              <w:jc w:val="center"/>
            </w:pPr>
            <w:r w:rsidRPr="00520D04">
              <w:t>3%</w:t>
            </w:r>
          </w:p>
        </w:tc>
        <w:tc>
          <w:tcPr>
            <w:tcW w:w="1596" w:type="dxa"/>
          </w:tcPr>
          <w:p w:rsidR="00940855" w:rsidRPr="00520D04" w:rsidRDefault="00940855" w:rsidP="002006DB">
            <w:pPr>
              <w:jc w:val="center"/>
            </w:pPr>
            <w:r w:rsidRPr="00520D04">
              <w:t>4%</w:t>
            </w:r>
          </w:p>
        </w:tc>
        <w:tc>
          <w:tcPr>
            <w:tcW w:w="1596" w:type="dxa"/>
          </w:tcPr>
          <w:p w:rsidR="00940855" w:rsidRPr="00520D04" w:rsidRDefault="00940855" w:rsidP="002006DB">
            <w:pPr>
              <w:jc w:val="center"/>
            </w:pPr>
            <w:r w:rsidRPr="00520D04">
              <w:t>5%</w:t>
            </w:r>
          </w:p>
        </w:tc>
      </w:tr>
    </w:tbl>
    <w:p w:rsidR="00E262E4" w:rsidRDefault="00E262E4" w:rsidP="002853B4">
      <w:pPr>
        <w:spacing w:after="0"/>
      </w:pPr>
    </w:p>
    <w:p w:rsidR="00936D40" w:rsidRDefault="00936D40" w:rsidP="002853B4">
      <w:pPr>
        <w:spacing w:after="0"/>
        <w:rPr>
          <w:b/>
          <w:sz w:val="28"/>
          <w:szCs w:val="28"/>
          <w:u w:val="single"/>
        </w:rPr>
      </w:pPr>
    </w:p>
    <w:p w:rsidR="002853B4" w:rsidRPr="0098174A" w:rsidRDefault="002853B4" w:rsidP="002853B4">
      <w:pPr>
        <w:spacing w:after="0"/>
        <w:rPr>
          <w:b/>
          <w:sz w:val="28"/>
          <w:szCs w:val="28"/>
          <w:u w:val="single"/>
        </w:rPr>
      </w:pPr>
      <w:r w:rsidRPr="0098174A">
        <w:rPr>
          <w:b/>
          <w:sz w:val="28"/>
          <w:szCs w:val="28"/>
          <w:u w:val="single"/>
        </w:rPr>
        <w:t xml:space="preserve">Create </w:t>
      </w:r>
      <w:proofErr w:type="gramStart"/>
      <w:r w:rsidRPr="0098174A">
        <w:rPr>
          <w:b/>
          <w:sz w:val="28"/>
          <w:szCs w:val="28"/>
          <w:u w:val="single"/>
        </w:rPr>
        <w:t>An</w:t>
      </w:r>
      <w:proofErr w:type="gramEnd"/>
      <w:r w:rsidRPr="0098174A">
        <w:rPr>
          <w:b/>
          <w:sz w:val="28"/>
          <w:szCs w:val="28"/>
          <w:u w:val="single"/>
        </w:rPr>
        <w:t xml:space="preserve"> Implementation Plan</w:t>
      </w:r>
    </w:p>
    <w:p w:rsidR="002853B4" w:rsidRDefault="002853B4" w:rsidP="002853B4">
      <w:pPr>
        <w:spacing w:after="0"/>
      </w:pPr>
      <w:r>
        <w:t xml:space="preserve">Once you have your performance review tool, merit increase percentage and employee peer groups identified, work with your OHR Consultant, senior management of your </w:t>
      </w:r>
      <w:r w:rsidR="00D3760D">
        <w:t>unit</w:t>
      </w:r>
      <w:r>
        <w:t xml:space="preserve">, and communications to create a merit pay implementation </w:t>
      </w:r>
      <w:r w:rsidR="00C64BCB">
        <w:t xml:space="preserve">timeline </w:t>
      </w:r>
      <w:r>
        <w:t>that includes:</w:t>
      </w:r>
    </w:p>
    <w:p w:rsidR="002853B4" w:rsidRDefault="002853B4" w:rsidP="00C64BCB">
      <w:pPr>
        <w:pStyle w:val="ListParagraph"/>
        <w:numPr>
          <w:ilvl w:val="0"/>
          <w:numId w:val="2"/>
        </w:numPr>
        <w:spacing w:after="0"/>
      </w:pPr>
      <w:r>
        <w:t>Clear assignment of roles and responsibilities</w:t>
      </w:r>
    </w:p>
    <w:p w:rsidR="007E7C72" w:rsidRDefault="00C64BCB" w:rsidP="002853B4">
      <w:pPr>
        <w:pStyle w:val="ListParagraph"/>
        <w:numPr>
          <w:ilvl w:val="0"/>
          <w:numId w:val="2"/>
        </w:numPr>
        <w:spacing w:after="0"/>
      </w:pPr>
      <w:r>
        <w:t>Creation of communications, forms</w:t>
      </w:r>
      <w:r w:rsidR="002853B4">
        <w:t xml:space="preserve"> and supporting documents</w:t>
      </w:r>
    </w:p>
    <w:p w:rsidR="00C64BCB" w:rsidRDefault="00C64BCB" w:rsidP="002853B4">
      <w:pPr>
        <w:pStyle w:val="ListParagraph"/>
        <w:numPr>
          <w:ilvl w:val="0"/>
          <w:numId w:val="2"/>
        </w:numPr>
        <w:spacing w:after="0"/>
      </w:pPr>
      <w:r>
        <w:t xml:space="preserve">Dates when </w:t>
      </w:r>
      <w:r w:rsidR="00993A59">
        <w:t xml:space="preserve">preliminary </w:t>
      </w:r>
      <w:r w:rsidR="00E37851">
        <w:t xml:space="preserve">performance </w:t>
      </w:r>
      <w:r>
        <w:t>reviews will be completed</w:t>
      </w:r>
    </w:p>
    <w:p w:rsidR="00E37851" w:rsidRDefault="00C64BCB" w:rsidP="002853B4">
      <w:pPr>
        <w:pStyle w:val="ListParagraph"/>
        <w:numPr>
          <w:ilvl w:val="0"/>
          <w:numId w:val="2"/>
        </w:numPr>
        <w:spacing w:after="0"/>
      </w:pPr>
      <w:r>
        <w:t xml:space="preserve">Dates when senior leadership </w:t>
      </w:r>
      <w:r w:rsidR="00993A59">
        <w:t>will meet to di</w:t>
      </w:r>
      <w:r w:rsidR="00E37851">
        <w:t>s</w:t>
      </w:r>
      <w:r w:rsidR="00993A59">
        <w:t xml:space="preserve">cuss preliminary reviews and </w:t>
      </w:r>
      <w:r w:rsidR="00E37851">
        <w:t>distribution performance among employees</w:t>
      </w:r>
    </w:p>
    <w:p w:rsidR="00993A59" w:rsidRDefault="00E37851" w:rsidP="002853B4">
      <w:pPr>
        <w:pStyle w:val="ListParagraph"/>
        <w:numPr>
          <w:ilvl w:val="0"/>
          <w:numId w:val="2"/>
        </w:numPr>
        <w:spacing w:after="0"/>
      </w:pPr>
      <w:r>
        <w:t xml:space="preserve">Financial analysis - Translation of performance rankings into </w:t>
      </w:r>
      <w:r w:rsidR="00C64BCB">
        <w:t>merit</w:t>
      </w:r>
      <w:r w:rsidR="00993A59">
        <w:t xml:space="preserve"> increase </w:t>
      </w:r>
      <w:r>
        <w:t>amounts</w:t>
      </w:r>
    </w:p>
    <w:p w:rsidR="00C64BCB" w:rsidRDefault="00993A59" w:rsidP="002853B4">
      <w:pPr>
        <w:pStyle w:val="ListParagraph"/>
        <w:numPr>
          <w:ilvl w:val="0"/>
          <w:numId w:val="2"/>
        </w:numPr>
        <w:spacing w:after="0"/>
      </w:pPr>
      <w:r>
        <w:t>Dates when final reviews and merit increase awards will be communicated to employees</w:t>
      </w:r>
    </w:p>
    <w:p w:rsidR="002853B4" w:rsidRDefault="002853B4" w:rsidP="002853B4">
      <w:pPr>
        <w:pStyle w:val="ListParagraph"/>
        <w:numPr>
          <w:ilvl w:val="0"/>
          <w:numId w:val="2"/>
        </w:numPr>
        <w:spacing w:after="0"/>
      </w:pPr>
      <w:r>
        <w:t xml:space="preserve">Training </w:t>
      </w:r>
      <w:r w:rsidR="00C64BCB">
        <w:t xml:space="preserve">dates </w:t>
      </w:r>
      <w:r>
        <w:t>for managers and supervisors on the tools and process, as well as how to effectively determine the merit amount and communicate the results to employees</w:t>
      </w:r>
    </w:p>
    <w:p w:rsidR="00A27C86" w:rsidRDefault="00A27C86" w:rsidP="002853B4">
      <w:pPr>
        <w:pStyle w:val="ListParagraph"/>
        <w:numPr>
          <w:ilvl w:val="0"/>
          <w:numId w:val="2"/>
        </w:numPr>
        <w:spacing w:after="0"/>
      </w:pPr>
      <w:r>
        <w:t xml:space="preserve">Training </w:t>
      </w:r>
      <w:r w:rsidR="00C64BCB">
        <w:t xml:space="preserve">dates </w:t>
      </w:r>
      <w:r>
        <w:t>for employees on how performance will be evaluated, how increases will be determined and timing of the merit increase cycle</w:t>
      </w:r>
    </w:p>
    <w:p w:rsidR="0070281F" w:rsidRDefault="00A27C86" w:rsidP="00F153F1">
      <w:pPr>
        <w:pStyle w:val="ListParagraph"/>
        <w:numPr>
          <w:ilvl w:val="0"/>
          <w:numId w:val="2"/>
        </w:numPr>
        <w:spacing w:after="0"/>
      </w:pPr>
      <w:r>
        <w:t xml:space="preserve">Handoffs </w:t>
      </w:r>
      <w:r w:rsidR="002853B4">
        <w:t>with payroll and HRMS at the local and central level to ensure appropriate and efficient processing of increases.</w:t>
      </w:r>
    </w:p>
    <w:sectPr w:rsidR="0070281F" w:rsidSect="00936D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42648"/>
    <w:multiLevelType w:val="hybridMultilevel"/>
    <w:tmpl w:val="9864C89A"/>
    <w:lvl w:ilvl="0" w:tplc="5B52BD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A2091"/>
    <w:multiLevelType w:val="hybridMultilevel"/>
    <w:tmpl w:val="4A24A5E0"/>
    <w:lvl w:ilvl="0" w:tplc="5094B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716DC"/>
    <w:multiLevelType w:val="hybridMultilevel"/>
    <w:tmpl w:val="BB845F60"/>
    <w:lvl w:ilvl="0" w:tplc="04090001">
      <w:start w:val="1"/>
      <w:numFmt w:val="bullet"/>
      <w:lvlText w:val=""/>
      <w:lvlJc w:val="left"/>
      <w:pPr>
        <w:ind w:left="360" w:hanging="360"/>
      </w:pPr>
      <w:rPr>
        <w:rFonts w:ascii="Symbol" w:hAnsi="Symbol" w:hint="default"/>
      </w:rPr>
    </w:lvl>
    <w:lvl w:ilvl="1" w:tplc="5A527DB2">
      <w:start w:val="1"/>
      <w:numFmt w:val="decimal"/>
      <w:lvlText w:val="%2.)"/>
      <w:lvlJc w:val="left"/>
      <w:pPr>
        <w:ind w:left="1080" w:hanging="360"/>
      </w:pPr>
      <w:rPr>
        <w:rFonts w:asciiTheme="minorHAnsi" w:eastAsiaTheme="minorHAnsi" w:hAnsiTheme="minorHAnsi" w:cstheme="minorBid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50856F2"/>
    <w:multiLevelType w:val="hybridMultilevel"/>
    <w:tmpl w:val="9B463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451651"/>
    <w:multiLevelType w:val="hybridMultilevel"/>
    <w:tmpl w:val="1E565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A824B6"/>
    <w:multiLevelType w:val="hybridMultilevel"/>
    <w:tmpl w:val="25FCAE0C"/>
    <w:lvl w:ilvl="0" w:tplc="7AFC9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AD4072"/>
    <w:multiLevelType w:val="hybridMultilevel"/>
    <w:tmpl w:val="48D44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2B26401"/>
    <w:multiLevelType w:val="hybridMultilevel"/>
    <w:tmpl w:val="8D2EB2D2"/>
    <w:lvl w:ilvl="0" w:tplc="BE72BF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8F4506"/>
    <w:multiLevelType w:val="hybridMultilevel"/>
    <w:tmpl w:val="5F28F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CF3FB0"/>
    <w:multiLevelType w:val="hybridMultilevel"/>
    <w:tmpl w:val="937A207E"/>
    <w:lvl w:ilvl="0" w:tplc="F56A66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9"/>
  </w:num>
  <w:num w:numId="4">
    <w:abstractNumId w:val="0"/>
  </w:num>
  <w:num w:numId="5">
    <w:abstractNumId w:val="1"/>
  </w:num>
  <w:num w:numId="6">
    <w:abstractNumId w:val="6"/>
  </w:num>
  <w:num w:numId="7">
    <w:abstractNumId w:val="3"/>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3F1"/>
    <w:rsid w:val="00027D7C"/>
    <w:rsid w:val="00040E67"/>
    <w:rsid w:val="001A4E8D"/>
    <w:rsid w:val="001D3D28"/>
    <w:rsid w:val="002258C6"/>
    <w:rsid w:val="002337D9"/>
    <w:rsid w:val="002426C9"/>
    <w:rsid w:val="00261DB1"/>
    <w:rsid w:val="002758F8"/>
    <w:rsid w:val="002853B4"/>
    <w:rsid w:val="00356DAA"/>
    <w:rsid w:val="003B68D4"/>
    <w:rsid w:val="003D232C"/>
    <w:rsid w:val="00430475"/>
    <w:rsid w:val="004B242E"/>
    <w:rsid w:val="004D4F24"/>
    <w:rsid w:val="00520D04"/>
    <w:rsid w:val="005340DD"/>
    <w:rsid w:val="00595C10"/>
    <w:rsid w:val="006003BF"/>
    <w:rsid w:val="00617509"/>
    <w:rsid w:val="00666EB6"/>
    <w:rsid w:val="0070281F"/>
    <w:rsid w:val="00710F3D"/>
    <w:rsid w:val="00776915"/>
    <w:rsid w:val="007D1B6D"/>
    <w:rsid w:val="007E41F1"/>
    <w:rsid w:val="007E7C72"/>
    <w:rsid w:val="00800191"/>
    <w:rsid w:val="0082418F"/>
    <w:rsid w:val="00855538"/>
    <w:rsid w:val="008B4928"/>
    <w:rsid w:val="008C0089"/>
    <w:rsid w:val="008F3E25"/>
    <w:rsid w:val="00926080"/>
    <w:rsid w:val="00927BBA"/>
    <w:rsid w:val="00936D40"/>
    <w:rsid w:val="00940855"/>
    <w:rsid w:val="00941404"/>
    <w:rsid w:val="0098174A"/>
    <w:rsid w:val="00993A59"/>
    <w:rsid w:val="009A257D"/>
    <w:rsid w:val="00A27C86"/>
    <w:rsid w:val="00A54E2E"/>
    <w:rsid w:val="00A7523C"/>
    <w:rsid w:val="00B548DD"/>
    <w:rsid w:val="00C11450"/>
    <w:rsid w:val="00C364F8"/>
    <w:rsid w:val="00C56B96"/>
    <w:rsid w:val="00C64BCB"/>
    <w:rsid w:val="00C66275"/>
    <w:rsid w:val="00CA6D01"/>
    <w:rsid w:val="00CD7F6D"/>
    <w:rsid w:val="00D30D9E"/>
    <w:rsid w:val="00D3760D"/>
    <w:rsid w:val="00D572B4"/>
    <w:rsid w:val="00DC5F4B"/>
    <w:rsid w:val="00E0212D"/>
    <w:rsid w:val="00E126B0"/>
    <w:rsid w:val="00E262E4"/>
    <w:rsid w:val="00E37851"/>
    <w:rsid w:val="00E658A8"/>
    <w:rsid w:val="00F153F1"/>
    <w:rsid w:val="00F46CFF"/>
    <w:rsid w:val="00FA2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902C1B-2C9B-400A-BC51-703DDDBEF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F24"/>
    <w:pPr>
      <w:ind w:left="720"/>
      <w:contextualSpacing/>
    </w:pPr>
  </w:style>
  <w:style w:type="table" w:styleId="TableGrid">
    <w:name w:val="Table Grid"/>
    <w:basedOn w:val="TableNormal"/>
    <w:uiPriority w:val="59"/>
    <w:rsid w:val="004B2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4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1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1098</Words>
  <Characters>6259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P Kuhl</dc:creator>
  <cp:lastModifiedBy>Matthew W Smith</cp:lastModifiedBy>
  <cp:revision>2</cp:revision>
  <cp:lastPrinted>2016-02-23T19:18:00Z</cp:lastPrinted>
  <dcterms:created xsi:type="dcterms:W3CDTF">2016-04-18T20:34:00Z</dcterms:created>
  <dcterms:modified xsi:type="dcterms:W3CDTF">2016-04-18T20:34:00Z</dcterms:modified>
</cp:coreProperties>
</file>